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82"/>
        <w:ind w:left="709" w:right="1421"/>
        <w:jc w:val="center"/>
        <w:rPr>
          <w:rFonts w:ascii="Tahoma"/>
          <w:b/>
        </w:rPr>
      </w:pPr>
      <w:r>
        <w:rPr>
          <w:rFonts w:hint="eastAsia" w:ascii="Tahoma"/>
          <w:b/>
        </w:rPr>
        <w:t>Appendix-N</w:t>
      </w:r>
      <w:r>
        <w:rPr>
          <w:rFonts w:ascii="Tahoma"/>
          <w:b/>
        </w:rPr>
        <w:t xml:space="preserve"> INSURANCE</w:t>
      </w:r>
    </w:p>
    <w:p>
      <w:pPr>
        <w:pStyle w:val="2"/>
        <w:spacing w:before="82"/>
        <w:ind w:right="84"/>
        <w:jc w:val="both"/>
        <w:rPr>
          <w:rFonts w:ascii="Times New Roman" w:hAnsi="Times New Roman" w:cs="Times New Roman"/>
        </w:rPr>
      </w:pPr>
      <w:r>
        <w:rPr>
          <w:rFonts w:ascii="Times New Roman" w:hAnsi="Times New Roman" w:cs="Times New Roman"/>
        </w:rPr>
        <w:t>1.General</w:t>
      </w:r>
    </w:p>
    <w:p>
      <w:pPr>
        <w:pStyle w:val="2"/>
        <w:spacing w:before="82"/>
        <w:ind w:right="84"/>
        <w:jc w:val="both"/>
        <w:rPr>
          <w:rFonts w:ascii="Times New Roman" w:hAnsi="Times New Roman" w:cs="Times New Roman"/>
        </w:rPr>
      </w:pPr>
      <w:r>
        <w:rPr>
          <w:rFonts w:ascii="Times New Roman" w:hAnsi="Times New Roman" w:cs="Times New Roman"/>
        </w:rPr>
        <w:t>1.1 The Subcontractor shall obtain and maintain or cause to be obtained and maintained insurance policies from financially sound and reputable insurers registered and accepted in the country of the Project and following insurances with South Africa’s insurance companies approved by applicable authorities at their own expense, that generally contain provisions which are reasonably standard in the international insurance market with respect to solar power generation facilities of a similar size, technology and location of the Plant. The insurance policies shall provide at least the types of insurance coverage and terms described in detailed in the Subcontract and in this Annexe 7 Insurance.</w:t>
      </w:r>
    </w:p>
    <w:p>
      <w:pPr>
        <w:pStyle w:val="2"/>
        <w:spacing w:before="82"/>
        <w:ind w:right="84"/>
        <w:jc w:val="both"/>
        <w:rPr>
          <w:rFonts w:ascii="Times New Roman" w:hAnsi="Times New Roman" w:cs="Times New Roman"/>
        </w:rPr>
      </w:pPr>
      <w:r>
        <w:rPr>
          <w:rFonts w:ascii="Times New Roman" w:hAnsi="Times New Roman" w:cs="Times New Roman"/>
        </w:rPr>
        <w:t>1.2 The Subcontractor shall obtain and maintain and require that its Sub-subcontractors obtain and maintain such insurance from issuance of the Effective Date of the Subcontract until the issue of the Performance Certificate in the term of the Subcontract. All deductibles under the insurances listed under Clause 2 shall be the responsibility of the Subcontractor or its Sub-subcontractors as applicable.</w:t>
      </w:r>
    </w:p>
    <w:p>
      <w:pPr>
        <w:pStyle w:val="2"/>
        <w:spacing w:before="82"/>
        <w:ind w:right="84"/>
        <w:jc w:val="both"/>
        <w:rPr>
          <w:rFonts w:ascii="Times New Roman" w:hAnsi="Times New Roman" w:cs="Times New Roman"/>
        </w:rPr>
      </w:pPr>
    </w:p>
    <w:p>
      <w:pPr>
        <w:pStyle w:val="2"/>
        <w:spacing w:before="82"/>
        <w:ind w:right="84"/>
        <w:jc w:val="both"/>
        <w:rPr>
          <w:rFonts w:ascii="Times New Roman" w:hAnsi="Times New Roman" w:cs="Times New Roman"/>
          <w:highlight w:val="none"/>
        </w:rPr>
      </w:pPr>
      <w:r>
        <w:rPr>
          <w:rFonts w:hint="eastAsia" w:ascii="Times New Roman" w:hAnsi="Times New Roman" w:cs="Times New Roman"/>
          <w:highlight w:val="none"/>
        </w:rPr>
        <w:t>2</w:t>
      </w:r>
      <w:r>
        <w:rPr>
          <w:rFonts w:ascii="Times New Roman" w:hAnsi="Times New Roman" w:cs="Times New Roman"/>
          <w:highlight w:val="none"/>
        </w:rPr>
        <w:t>. Subcontractor’s Insurances</w:t>
      </w:r>
    </w:p>
    <w:p>
      <w:pPr>
        <w:pStyle w:val="2"/>
        <w:spacing w:before="82"/>
        <w:ind w:right="84"/>
        <w:jc w:val="both"/>
        <w:rPr>
          <w:rFonts w:ascii="Times New Roman" w:hAnsi="Times New Roman" w:cs="Times New Roman"/>
        </w:rPr>
      </w:pPr>
      <w:r>
        <w:rPr>
          <w:rFonts w:ascii="Times New Roman" w:hAnsi="Times New Roman" w:cs="Times New Roman"/>
        </w:rPr>
        <w:t>The Subcontractor will effect and maintain the following insurance policy/s for the duration for the Subcontract:</w:t>
      </w:r>
    </w:p>
    <w:p>
      <w:pPr>
        <w:pStyle w:val="2"/>
        <w:numPr>
          <w:ilvl w:val="0"/>
          <w:numId w:val="1"/>
        </w:numPr>
        <w:spacing w:before="82"/>
        <w:ind w:right="84"/>
        <w:jc w:val="both"/>
        <w:rPr>
          <w:rFonts w:ascii="Times New Roman" w:hAnsi="Times New Roman" w:cs="Times New Roman"/>
        </w:rPr>
      </w:pPr>
      <w:r>
        <w:rPr>
          <w:rFonts w:ascii="Times New Roman" w:hAnsi="Times New Roman" w:cs="Times New Roman"/>
        </w:rPr>
        <w:t>Professional Indemnity</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0"/>
        <w:gridCol w:w="63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3" w:type="pct"/>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007C85"/>
          </w:tcPr>
          <w:p>
            <w:pPr>
              <w:spacing w:before="60" w:after="60"/>
              <w:jc w:val="both"/>
              <w:rPr>
                <w:rFonts w:ascii="Century Gothic" w:hAnsi="Century Gothic" w:eastAsia="宋体" w:cs="Times New Roman"/>
                <w:b/>
                <w:bCs/>
                <w:color w:val="auto"/>
                <w:sz w:val="20"/>
                <w:szCs w:val="22"/>
              </w:rPr>
            </w:pPr>
            <w:r>
              <w:rPr>
                <w:rFonts w:ascii="Century Gothic" w:hAnsi="Century Gothic" w:eastAsia="宋体" w:cs="Times New Roman"/>
                <w:b/>
                <w:bCs/>
                <w:color w:val="auto"/>
                <w:sz w:val="20"/>
                <w:szCs w:val="22"/>
              </w:rPr>
              <w:t>Element</w:t>
            </w:r>
          </w:p>
        </w:tc>
        <w:tc>
          <w:tcPr>
            <w:tcW w:w="3726" w:type="pct"/>
            <w:tcBorders>
              <w:top w:val="single" w:color="auto" w:sz="4" w:space="0"/>
              <w:bottom w:val="single" w:color="auto" w:sz="4" w:space="0"/>
              <w:right w:val="single" w:color="auto" w:sz="4" w:space="0"/>
              <w:insideH w:val="single" w:sz="4" w:space="0"/>
              <w:insideV w:val="single" w:sz="4" w:space="0"/>
            </w:tcBorders>
            <w:shd w:val="clear" w:color="auto" w:fill="007C85"/>
          </w:tcPr>
          <w:p>
            <w:pPr>
              <w:spacing w:before="60" w:after="60"/>
              <w:jc w:val="both"/>
              <w:rPr>
                <w:rFonts w:ascii="Century Gothic" w:hAnsi="Century Gothic" w:eastAsia="宋体" w:cs="Times New Roman"/>
                <w:b/>
                <w:bCs/>
                <w:color w:val="auto"/>
                <w:sz w:val="20"/>
                <w:szCs w:val="22"/>
              </w:rPr>
            </w:pPr>
            <w:r>
              <w:rPr>
                <w:rFonts w:ascii="Century Gothic" w:hAnsi="Century Gothic" w:eastAsia="宋体" w:cs="Times New Roman"/>
                <w:b/>
                <w:bCs/>
                <w:color w:val="auto"/>
                <w:sz w:val="20"/>
                <w:szCs w:val="22"/>
              </w:rPr>
              <w:t>Minimum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3" w:type="pct"/>
            <w:shd w:val="clear" w:color="auto" w:fill="auto"/>
          </w:tcPr>
          <w:p>
            <w:pPr>
              <w:spacing w:before="60" w:after="60"/>
              <w:jc w:val="both"/>
              <w:rPr>
                <w:rFonts w:hint="eastAsia" w:ascii="HelveticaNeue LT 45 Lt" w:hAnsi="HelveticaNeue LT 45 Lt" w:eastAsia="宋体" w:cs="Times New Roman"/>
                <w:b/>
                <w:bCs/>
                <w:sz w:val="22"/>
                <w:szCs w:val="22"/>
              </w:rPr>
            </w:pPr>
            <w:r>
              <w:rPr>
                <w:rFonts w:ascii="HelveticaNeue LT 45 Lt" w:hAnsi="HelveticaNeue LT 45 Lt" w:eastAsia="宋体" w:cs="Times New Roman"/>
                <w:b/>
                <w:bCs/>
                <w:sz w:val="22"/>
                <w:szCs w:val="22"/>
              </w:rPr>
              <w:t>Scope of cover</w:t>
            </w:r>
          </w:p>
        </w:tc>
        <w:tc>
          <w:tcPr>
            <w:tcW w:w="3726" w:type="pct"/>
            <w:shd w:val="clear" w:color="auto" w:fill="auto"/>
          </w:tcPr>
          <w:p>
            <w:pPr>
              <w:spacing w:before="60" w:after="60"/>
              <w:jc w:val="both"/>
              <w:rPr>
                <w:rFonts w:hint="eastAsia" w:ascii="HelveticaNeue LT 45 Lt" w:hAnsi="HelveticaNeue LT 45 Lt" w:eastAsia="宋体" w:cs="Times New Roman"/>
                <w:b w:val="0"/>
                <w:bCs/>
                <w:sz w:val="22"/>
                <w:szCs w:val="22"/>
              </w:rPr>
            </w:pPr>
            <w:r>
              <w:rPr>
                <w:rFonts w:ascii="HelveticaNeue LT 45 Lt" w:hAnsi="HelveticaNeue LT 45 Lt" w:eastAsia="宋体" w:cs="Times New Roman"/>
                <w:b w:val="0"/>
                <w:bCs/>
                <w:sz w:val="22"/>
                <w:szCs w:val="22"/>
              </w:rPr>
              <w:t xml:space="preserve">Subcontractor shall, at its own cost and expense, maintain (or cause to have maintained) throughout the term of this Agreement Project specific design and construct Professional Indemnity insurance (which includes Prior to Handover Costs) covering damage arising or resulting from any act, negligence or omission of the Subcontractor, but not limited to the design, supervision and specification of the Works, more fully described in the Contract documentation.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0" w:type="dxa"/>
            <w:shd w:val="clear" w:color="auto" w:fill="auto"/>
            <w:vAlign w:val="top"/>
          </w:tcPr>
          <w:p>
            <w:pPr>
              <w:spacing w:before="60" w:after="60" w:line="240" w:lineRule="auto"/>
              <w:rPr>
                <w:rFonts w:ascii="HelveticaNeue LT 45 Lt" w:hAnsi="HelveticaNeue LT 45 Lt" w:eastAsia="宋体" w:cs="Times New Roman"/>
                <w:b/>
                <w:bCs/>
                <w:sz w:val="22"/>
                <w:szCs w:val="22"/>
              </w:rPr>
            </w:pPr>
            <w:r>
              <w:rPr>
                <w:rFonts w:hint="default" w:ascii="HelveticaNeue LT 45 Lt" w:hAnsi="HelveticaNeue LT 45 Lt" w:eastAsia="宋体" w:cs="Times New Roman"/>
                <w:b/>
                <w:bCs/>
                <w:sz w:val="22"/>
                <w:szCs w:val="22"/>
              </w:rPr>
              <w:t>Period of insurance</w:t>
            </w:r>
          </w:p>
        </w:tc>
        <w:tc>
          <w:tcPr>
            <w:tcW w:w="6352" w:type="dxa"/>
            <w:shd w:val="clear" w:color="auto" w:fill="auto"/>
            <w:vAlign w:val="top"/>
          </w:tcPr>
          <w:p>
            <w:pPr>
              <w:spacing w:before="60" w:after="60" w:line="240" w:lineRule="auto"/>
              <w:rPr>
                <w:rFonts w:ascii="HelveticaNeue LT 45 Lt" w:hAnsi="HelveticaNeue LT 45 Lt" w:eastAsia="宋体" w:cs="Times New Roman"/>
                <w:b w:val="0"/>
                <w:bCs/>
                <w:sz w:val="22"/>
                <w:szCs w:val="22"/>
              </w:rPr>
            </w:pPr>
            <w:r>
              <w:rPr>
                <w:rFonts w:hint="default" w:ascii="HelveticaNeue LT 45 Lt" w:hAnsi="HelveticaNeue LT 45 Lt" w:eastAsia="宋体" w:cs="Times New Roman"/>
                <w:b w:val="0"/>
                <w:bCs/>
                <w:sz w:val="22"/>
                <w:szCs w:val="22"/>
              </w:rPr>
              <w:t>F</w:t>
            </w:r>
            <w:r>
              <w:rPr>
                <w:rFonts w:hint="default" w:ascii="HelveticaNeue LT 45 Lt" w:hAnsi="HelveticaNeue LT 45 Lt" w:eastAsia="宋体" w:cs="Times New Roman"/>
                <w:b w:val="0"/>
                <w:bCs/>
                <w:sz w:val="22"/>
                <w:szCs w:val="22"/>
              </w:rPr>
              <w:t>rom Commencement Date for a period not exceeding 72 months but including the 24 months D</w:t>
            </w:r>
            <w:bookmarkStart w:id="1" w:name="_GoBack"/>
            <w:bookmarkEnd w:id="1"/>
            <w:r>
              <w:rPr>
                <w:rFonts w:hint="default" w:ascii="HelveticaNeue LT 45 Lt" w:hAnsi="HelveticaNeue LT 45 Lt" w:eastAsia="宋体" w:cs="Times New Roman"/>
                <w:b w:val="0"/>
                <w:bCs/>
                <w:sz w:val="22"/>
                <w:szCs w:val="22"/>
              </w:rPr>
              <w:t>efect Notification Period.</w:t>
            </w:r>
            <w:r>
              <w:rPr>
                <w:rFonts w:hint="default" w:ascii="Times New Roman" w:hAnsi="Times New Roman" w:cs="Times New Roman"/>
                <w:b w:val="0"/>
                <w:bCs/>
              </w:rPr>
              <w:t xml:space="preserve"> </w:t>
            </w:r>
          </w:p>
        </w:tc>
      </w:tr>
    </w:tbl>
    <w:p>
      <w:pPr>
        <w:pStyle w:val="2"/>
        <w:spacing w:before="82"/>
        <w:ind w:right="84"/>
        <w:jc w:val="both"/>
        <w:rPr>
          <w:rFonts w:ascii="Times New Roman" w:hAnsi="Times New Roman" w:cs="Times New Roman"/>
        </w:rPr>
      </w:pPr>
    </w:p>
    <w:p>
      <w:pPr>
        <w:pStyle w:val="2"/>
        <w:numPr>
          <w:ilvl w:val="0"/>
          <w:numId w:val="1"/>
        </w:numPr>
        <w:spacing w:before="82"/>
        <w:ind w:right="84"/>
        <w:jc w:val="both"/>
        <w:rPr>
          <w:rFonts w:ascii="Times New Roman" w:hAnsi="Times New Roman" w:cs="Times New Roman"/>
        </w:rPr>
      </w:pPr>
      <w:r>
        <w:rPr>
          <w:rFonts w:ascii="Times New Roman" w:hAnsi="Times New Roman" w:cs="Times New Roman"/>
        </w:rPr>
        <w:t>Workers' Compensation and Unemployment</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1"/>
        <w:gridCol w:w="6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4" w:type="pct"/>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007C85"/>
          </w:tcPr>
          <w:p>
            <w:pPr>
              <w:spacing w:before="60" w:after="60"/>
              <w:jc w:val="both"/>
              <w:rPr>
                <w:rFonts w:ascii="Century Gothic" w:hAnsi="Century Gothic" w:eastAsia="宋体" w:cs="Times New Roman"/>
                <w:b/>
                <w:bCs/>
                <w:color w:val="auto"/>
                <w:sz w:val="20"/>
                <w:szCs w:val="22"/>
              </w:rPr>
            </w:pPr>
            <w:r>
              <w:rPr>
                <w:rFonts w:ascii="Century Gothic" w:hAnsi="Century Gothic" w:eastAsia="宋体" w:cs="Times New Roman"/>
                <w:b/>
                <w:bCs/>
                <w:color w:val="auto"/>
                <w:sz w:val="20"/>
                <w:szCs w:val="22"/>
              </w:rPr>
              <w:t>Element</w:t>
            </w:r>
          </w:p>
        </w:tc>
        <w:tc>
          <w:tcPr>
            <w:tcW w:w="3726" w:type="pct"/>
            <w:tcBorders>
              <w:top w:val="single" w:color="auto" w:sz="4" w:space="0"/>
              <w:bottom w:val="single" w:color="auto" w:sz="4" w:space="0"/>
              <w:right w:val="single" w:color="auto" w:sz="4" w:space="0"/>
              <w:insideH w:val="single" w:sz="4" w:space="0"/>
              <w:insideV w:val="single" w:sz="4" w:space="0"/>
            </w:tcBorders>
            <w:shd w:val="clear" w:color="auto" w:fill="007C85"/>
          </w:tcPr>
          <w:p>
            <w:pPr>
              <w:spacing w:before="60" w:after="60"/>
              <w:jc w:val="both"/>
              <w:rPr>
                <w:rFonts w:ascii="Century Gothic" w:hAnsi="Century Gothic" w:eastAsia="宋体" w:cs="Times New Roman"/>
                <w:b/>
                <w:bCs/>
                <w:color w:val="auto"/>
                <w:sz w:val="20"/>
                <w:szCs w:val="22"/>
              </w:rPr>
            </w:pPr>
            <w:r>
              <w:rPr>
                <w:rFonts w:ascii="Century Gothic" w:hAnsi="Century Gothic" w:eastAsia="宋体" w:cs="Times New Roman"/>
                <w:b/>
                <w:bCs/>
                <w:color w:val="auto"/>
                <w:sz w:val="20"/>
                <w:szCs w:val="22"/>
              </w:rPr>
              <w:t>Minimum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4" w:type="pct"/>
            <w:shd w:val="clear" w:color="auto" w:fill="auto"/>
          </w:tcPr>
          <w:p>
            <w:pPr>
              <w:spacing w:before="60" w:after="60"/>
              <w:jc w:val="both"/>
              <w:rPr>
                <w:rFonts w:hint="eastAsia" w:ascii="HelveticaNeue LT 45 Lt" w:hAnsi="HelveticaNeue LT 45 Lt" w:eastAsia="宋体" w:cs="Times New Roman"/>
                <w:b/>
                <w:bCs/>
                <w:sz w:val="22"/>
                <w:szCs w:val="22"/>
              </w:rPr>
            </w:pPr>
            <w:r>
              <w:rPr>
                <w:rFonts w:ascii="HelveticaNeue LT 45 Lt" w:hAnsi="HelveticaNeue LT 45 Lt" w:eastAsia="宋体" w:cs="Times New Roman"/>
                <w:b/>
                <w:bCs/>
                <w:sz w:val="22"/>
                <w:szCs w:val="22"/>
              </w:rPr>
              <w:t>Sum insured</w:t>
            </w:r>
          </w:p>
        </w:tc>
        <w:tc>
          <w:tcPr>
            <w:tcW w:w="3726" w:type="pct"/>
            <w:shd w:val="clear" w:color="auto" w:fill="auto"/>
          </w:tcPr>
          <w:p>
            <w:pPr>
              <w:spacing w:before="60" w:after="60"/>
              <w:jc w:val="both"/>
              <w:rPr>
                <w:rFonts w:hint="eastAsia" w:ascii="HelveticaNeue LT 45 Lt" w:hAnsi="HelveticaNeue LT 45 Lt" w:eastAsia="宋体" w:cs="Times New Roman"/>
                <w:b w:val="0"/>
                <w:bCs/>
                <w:sz w:val="22"/>
                <w:szCs w:val="22"/>
              </w:rPr>
            </w:pPr>
            <w:r>
              <w:rPr>
                <w:rFonts w:ascii="HelveticaNeue LT 45 Lt" w:hAnsi="HelveticaNeue LT 45 Lt" w:eastAsia="宋体" w:cs="Times New Roman"/>
                <w:b w:val="0"/>
                <w:bCs/>
                <w:sz w:val="22"/>
                <w:szCs w:val="22"/>
              </w:rPr>
              <w:t>As required in terms of the Compensation for Occupational Injuries and Diseases Act (“COIDA”).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4" w:type="pct"/>
            <w:shd w:val="clear" w:color="auto" w:fill="auto"/>
          </w:tcPr>
          <w:p>
            <w:pPr>
              <w:spacing w:before="60" w:after="60"/>
              <w:jc w:val="both"/>
              <w:rPr>
                <w:rFonts w:hint="eastAsia" w:ascii="HelveticaNeue LT 45 Lt" w:hAnsi="HelveticaNeue LT 45 Lt" w:eastAsia="宋体" w:cs="Times New Roman"/>
                <w:b/>
                <w:bCs/>
                <w:sz w:val="22"/>
                <w:szCs w:val="22"/>
              </w:rPr>
            </w:pPr>
            <w:r>
              <w:rPr>
                <w:rFonts w:ascii="HelveticaNeue LT 45 Lt" w:hAnsi="HelveticaNeue LT 45 Lt" w:eastAsia="宋体" w:cs="Times New Roman"/>
                <w:b/>
                <w:bCs/>
                <w:sz w:val="22"/>
                <w:szCs w:val="22"/>
              </w:rPr>
              <w:t>Scope of cover</w:t>
            </w:r>
          </w:p>
        </w:tc>
        <w:tc>
          <w:tcPr>
            <w:tcW w:w="3726" w:type="pct"/>
            <w:shd w:val="clear" w:color="auto" w:fill="auto"/>
          </w:tcPr>
          <w:p>
            <w:pPr>
              <w:spacing w:before="60" w:after="60"/>
              <w:jc w:val="both"/>
              <w:rPr>
                <w:rFonts w:hint="eastAsia" w:ascii="HelveticaNeue LT 45 Lt" w:hAnsi="HelveticaNeue LT 45 Lt" w:eastAsia="宋体" w:cs="Times New Roman"/>
                <w:b w:val="0"/>
                <w:bCs/>
                <w:sz w:val="22"/>
                <w:szCs w:val="22"/>
              </w:rPr>
            </w:pPr>
            <w:r>
              <w:rPr>
                <w:rFonts w:ascii="HelveticaNeue LT 45 Lt" w:hAnsi="HelveticaNeue LT 45 Lt" w:eastAsia="宋体" w:cs="Times New Roman"/>
                <w:b w:val="0"/>
                <w:bCs/>
                <w:sz w:val="22"/>
                <w:szCs w:val="22"/>
              </w:rPr>
              <w:t>As required in terms of COIDA.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4" w:type="pct"/>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tcPr>
          <w:p>
            <w:pPr>
              <w:spacing w:before="60" w:after="60"/>
              <w:jc w:val="both"/>
              <w:rPr>
                <w:rFonts w:hint="eastAsia" w:ascii="HelveticaNeue LT 45 Lt" w:hAnsi="HelveticaNeue LT 45 Lt" w:eastAsia="宋体" w:cs="Times New Roman"/>
                <w:b/>
                <w:bCs/>
                <w:sz w:val="22"/>
                <w:szCs w:val="22"/>
              </w:rPr>
            </w:pPr>
            <w:r>
              <w:rPr>
                <w:rFonts w:ascii="HelveticaNeue LT 45 Lt" w:hAnsi="HelveticaNeue LT 45 Lt" w:eastAsia="宋体" w:cs="Times New Roman"/>
                <w:b/>
                <w:bCs/>
                <w:sz w:val="22"/>
                <w:szCs w:val="22"/>
              </w:rPr>
              <w:t>Period of insurance</w:t>
            </w:r>
          </w:p>
        </w:tc>
        <w:tc>
          <w:tcPr>
            <w:tcW w:w="3726" w:type="pct"/>
            <w:tcBorders>
              <w:top w:val="single" w:color="auto" w:sz="4" w:space="0"/>
              <w:bottom w:val="single" w:color="auto" w:sz="4" w:space="0"/>
              <w:right w:val="single" w:color="auto" w:sz="4" w:space="0"/>
              <w:insideH w:val="single" w:sz="4" w:space="0"/>
              <w:insideV w:val="single" w:sz="4" w:space="0"/>
            </w:tcBorders>
            <w:shd w:val="clear" w:color="auto" w:fill="auto"/>
          </w:tcPr>
          <w:p>
            <w:pPr>
              <w:spacing w:before="60" w:after="60"/>
              <w:jc w:val="both"/>
              <w:rPr>
                <w:rFonts w:hint="eastAsia" w:ascii="HelveticaNeue LT 45 Lt" w:hAnsi="HelveticaNeue LT 45 Lt" w:eastAsia="宋体" w:cs="Times New Roman"/>
                <w:b w:val="0"/>
                <w:bCs/>
                <w:sz w:val="22"/>
                <w:szCs w:val="22"/>
              </w:rPr>
            </w:pPr>
            <w:r>
              <w:rPr>
                <w:rFonts w:ascii="HelveticaNeue LT 45 Lt" w:hAnsi="HelveticaNeue LT 45 Lt" w:eastAsia="宋体" w:cs="Times New Roman"/>
                <w:b w:val="0"/>
                <w:bCs/>
                <w:sz w:val="22"/>
                <w:szCs w:val="22"/>
              </w:rPr>
              <w:t>From the Commencement Date and thereafter until the issuance of the Performance Certificate.</w:t>
            </w:r>
          </w:p>
        </w:tc>
      </w:tr>
    </w:tbl>
    <w:p>
      <w:pPr>
        <w:pStyle w:val="2"/>
        <w:spacing w:before="82"/>
        <w:ind w:right="84"/>
        <w:jc w:val="both"/>
        <w:rPr>
          <w:rFonts w:ascii="Times New Roman" w:hAnsi="Times New Roman" w:cs="Times New Roman"/>
        </w:rPr>
      </w:pPr>
    </w:p>
    <w:p>
      <w:pPr>
        <w:pStyle w:val="2"/>
        <w:numPr>
          <w:ilvl w:val="0"/>
          <w:numId w:val="1"/>
        </w:numPr>
        <w:spacing w:before="82"/>
        <w:ind w:right="84"/>
        <w:jc w:val="both"/>
        <w:rPr>
          <w:rFonts w:ascii="Times New Roman" w:hAnsi="Times New Roman" w:cs="Times New Roman"/>
        </w:rPr>
      </w:pPr>
      <w:r>
        <w:rPr>
          <w:rFonts w:ascii="Times New Roman" w:hAnsi="Times New Roman" w:cs="Times New Roman"/>
        </w:rPr>
        <w:t>Contingent Employer's Liability Insurance</w:t>
      </w: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0"/>
        <w:gridCol w:w="63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3" w:type="pct"/>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007C85"/>
          </w:tcPr>
          <w:p>
            <w:pPr>
              <w:spacing w:before="60" w:after="60"/>
              <w:jc w:val="both"/>
              <w:rPr>
                <w:rFonts w:ascii="Century Gothic" w:hAnsi="Century Gothic" w:eastAsia="宋体" w:cs="Times New Roman"/>
                <w:b/>
                <w:bCs/>
                <w:color w:val="auto"/>
                <w:sz w:val="20"/>
                <w:szCs w:val="22"/>
              </w:rPr>
            </w:pPr>
            <w:r>
              <w:rPr>
                <w:rFonts w:ascii="Century Gothic" w:hAnsi="Century Gothic" w:eastAsia="宋体" w:cs="Times New Roman"/>
                <w:b/>
                <w:bCs/>
                <w:color w:val="auto"/>
                <w:sz w:val="20"/>
                <w:szCs w:val="22"/>
              </w:rPr>
              <w:t>Element</w:t>
            </w:r>
          </w:p>
        </w:tc>
        <w:tc>
          <w:tcPr>
            <w:tcW w:w="3726" w:type="pct"/>
            <w:tcBorders>
              <w:top w:val="single" w:color="auto" w:sz="4" w:space="0"/>
              <w:bottom w:val="single" w:color="auto" w:sz="4" w:space="0"/>
              <w:right w:val="single" w:color="auto" w:sz="4" w:space="0"/>
              <w:insideH w:val="single" w:sz="4" w:space="0"/>
              <w:insideV w:val="single" w:sz="4" w:space="0"/>
            </w:tcBorders>
            <w:shd w:val="clear" w:color="auto" w:fill="007C85"/>
          </w:tcPr>
          <w:p>
            <w:pPr>
              <w:spacing w:before="60" w:after="60"/>
              <w:jc w:val="both"/>
              <w:rPr>
                <w:rFonts w:ascii="Century Gothic" w:hAnsi="Century Gothic" w:eastAsia="宋体" w:cs="Times New Roman"/>
                <w:b/>
                <w:bCs/>
                <w:color w:val="auto"/>
                <w:sz w:val="20"/>
                <w:szCs w:val="22"/>
              </w:rPr>
            </w:pPr>
            <w:r>
              <w:rPr>
                <w:rFonts w:ascii="Century Gothic" w:hAnsi="Century Gothic" w:eastAsia="宋体" w:cs="Times New Roman"/>
                <w:b/>
                <w:bCs/>
                <w:color w:val="auto"/>
                <w:sz w:val="20"/>
                <w:szCs w:val="22"/>
              </w:rPr>
              <w:t>Minimum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3" w:type="pct"/>
            <w:shd w:val="clear" w:color="auto" w:fill="auto"/>
          </w:tcPr>
          <w:p>
            <w:pPr>
              <w:spacing w:before="60" w:after="60"/>
              <w:jc w:val="both"/>
              <w:rPr>
                <w:rFonts w:hint="eastAsia" w:ascii="HelveticaNeue LT 45 Lt" w:hAnsi="HelveticaNeue LT 45 Lt" w:eastAsia="宋体" w:cs="Times New Roman"/>
                <w:b/>
                <w:bCs/>
                <w:sz w:val="22"/>
                <w:szCs w:val="22"/>
              </w:rPr>
            </w:pPr>
            <w:r>
              <w:rPr>
                <w:rFonts w:ascii="HelveticaNeue LT 45 Lt" w:hAnsi="HelveticaNeue LT 45 Lt" w:eastAsia="宋体" w:cs="Times New Roman"/>
                <w:b/>
                <w:bCs/>
                <w:sz w:val="22"/>
                <w:szCs w:val="22"/>
              </w:rPr>
              <w:t>Scope of cover</w:t>
            </w:r>
          </w:p>
        </w:tc>
        <w:tc>
          <w:tcPr>
            <w:tcW w:w="3726" w:type="pct"/>
            <w:shd w:val="clear" w:color="auto" w:fill="auto"/>
          </w:tcPr>
          <w:p>
            <w:pPr>
              <w:spacing w:before="60" w:after="60"/>
              <w:jc w:val="both"/>
              <w:rPr>
                <w:rFonts w:hint="eastAsia" w:ascii="HelveticaNeue LT 45 Lt" w:hAnsi="HelveticaNeue LT 45 Lt" w:eastAsia="宋体" w:cs="Times New Roman"/>
                <w:b w:val="0"/>
                <w:bCs/>
                <w:sz w:val="22"/>
                <w:szCs w:val="22"/>
              </w:rPr>
            </w:pPr>
            <w:r>
              <w:rPr>
                <w:rFonts w:ascii="HelveticaNeue LT 45 Lt" w:hAnsi="HelveticaNeue LT 45 Lt" w:eastAsia="宋体" w:cs="Times New Roman"/>
                <w:b w:val="0"/>
                <w:bCs/>
                <w:sz w:val="22"/>
                <w:szCs w:val="22"/>
              </w:rPr>
              <w:t>Covering legal liability arising out of death or injury to persons employed (or deemed to be employed) by the Subcontractor in connection with the Works, the Works or the Project (including liability under any applicable Law, at common law, in equity or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3" w:type="pct"/>
            <w:shd w:val="clear" w:color="auto" w:fill="auto"/>
          </w:tcPr>
          <w:p>
            <w:pPr>
              <w:spacing w:before="60" w:after="60"/>
              <w:jc w:val="both"/>
              <w:rPr>
                <w:rFonts w:hint="eastAsia" w:ascii="HelveticaNeue LT 45 Lt" w:hAnsi="HelveticaNeue LT 45 Lt" w:eastAsia="宋体" w:cs="Times New Roman"/>
                <w:b/>
                <w:bCs/>
                <w:sz w:val="22"/>
                <w:szCs w:val="22"/>
              </w:rPr>
            </w:pPr>
            <w:r>
              <w:rPr>
                <w:rFonts w:ascii="HelveticaNeue LT 45 Lt" w:hAnsi="HelveticaNeue LT 45 Lt" w:eastAsia="宋体" w:cs="Times New Roman"/>
                <w:b/>
                <w:bCs/>
                <w:sz w:val="22"/>
                <w:szCs w:val="22"/>
              </w:rPr>
              <w:t xml:space="preserve">Additional requirements </w:t>
            </w:r>
          </w:p>
        </w:tc>
        <w:tc>
          <w:tcPr>
            <w:tcW w:w="3726" w:type="pct"/>
            <w:shd w:val="clear" w:color="auto" w:fill="auto"/>
          </w:tcPr>
          <w:p>
            <w:pPr>
              <w:spacing w:before="60" w:after="60"/>
              <w:jc w:val="both"/>
              <w:rPr>
                <w:rFonts w:hint="eastAsia" w:ascii="HelveticaNeue LT 45 Lt" w:hAnsi="HelveticaNeue LT 45 Lt" w:eastAsia="宋体" w:cs="Times New Roman"/>
                <w:b w:val="0"/>
                <w:bCs/>
                <w:sz w:val="22"/>
                <w:szCs w:val="22"/>
              </w:rPr>
            </w:pPr>
            <w:r>
              <w:rPr>
                <w:rFonts w:ascii="HelveticaNeue LT 45 Lt" w:hAnsi="HelveticaNeue LT 45 Lt" w:eastAsia="宋体" w:cs="Times New Roman"/>
                <w:b w:val="0"/>
                <w:bCs/>
                <w:sz w:val="22"/>
                <w:szCs w:val="22"/>
              </w:rPr>
              <w:t>Indemnify the Subcontractor and their respective employees, contractors and agents against any liability which they may incur arising out of death or injury to persons employed (or deemed to be employed) by the Subcontractor in connection with the Works, the Works or the Project (including liability under any applicable Law, at common law, in equity or otherwise).</w:t>
            </w:r>
          </w:p>
          <w:p>
            <w:pPr>
              <w:spacing w:before="60" w:after="60"/>
              <w:jc w:val="both"/>
              <w:rPr>
                <w:rFonts w:hint="eastAsia" w:ascii="HelveticaNeue LT 45 Lt" w:hAnsi="HelveticaNeue LT 45 Lt" w:eastAsia="宋体" w:cs="Times New Roman"/>
                <w:b w:val="0"/>
                <w:bCs/>
                <w:sz w:val="22"/>
                <w:szCs w:val="22"/>
              </w:rPr>
            </w:pPr>
            <w:r>
              <w:rPr>
                <w:rFonts w:ascii="HelveticaNeue LT 45 Lt" w:hAnsi="HelveticaNeue LT 45 Lt" w:eastAsia="宋体" w:cs="Times New Roman"/>
                <w:b w:val="0"/>
                <w:bCs/>
                <w:sz w:val="22"/>
                <w:szCs w:val="22"/>
              </w:rPr>
              <w:t>To the extent permitted by Law, include waiver of all express or implied rights of subrogation against the Employer, their Affiliate and their respective employees, contractors and agents.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3" w:type="pct"/>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tcPr>
          <w:p>
            <w:pPr>
              <w:spacing w:before="60" w:after="60"/>
              <w:jc w:val="both"/>
              <w:rPr>
                <w:rFonts w:hint="eastAsia" w:ascii="HelveticaNeue LT 45 Lt" w:hAnsi="HelveticaNeue LT 45 Lt" w:eastAsia="宋体" w:cs="Times New Roman"/>
                <w:b/>
                <w:bCs/>
                <w:sz w:val="22"/>
                <w:szCs w:val="22"/>
              </w:rPr>
            </w:pPr>
            <w:r>
              <w:rPr>
                <w:rFonts w:ascii="HelveticaNeue LT 45 Lt" w:hAnsi="HelveticaNeue LT 45 Lt" w:eastAsia="宋体" w:cs="Times New Roman"/>
                <w:b/>
                <w:bCs/>
                <w:sz w:val="22"/>
                <w:szCs w:val="22"/>
              </w:rPr>
              <w:t>Period of insurance</w:t>
            </w:r>
          </w:p>
        </w:tc>
        <w:tc>
          <w:tcPr>
            <w:tcW w:w="3726" w:type="pct"/>
            <w:tcBorders>
              <w:top w:val="single" w:color="auto" w:sz="4" w:space="0"/>
              <w:bottom w:val="single" w:color="auto" w:sz="4" w:space="0"/>
              <w:right w:val="single" w:color="auto" w:sz="4" w:space="0"/>
              <w:insideH w:val="single" w:sz="4" w:space="0"/>
              <w:insideV w:val="single" w:sz="4" w:space="0"/>
            </w:tcBorders>
            <w:shd w:val="clear" w:color="auto" w:fill="auto"/>
          </w:tcPr>
          <w:p>
            <w:pPr>
              <w:spacing w:before="60" w:after="60"/>
              <w:jc w:val="both"/>
              <w:rPr>
                <w:rFonts w:hint="eastAsia" w:ascii="HelveticaNeue LT 45 Lt" w:hAnsi="HelveticaNeue LT 45 Lt" w:eastAsia="宋体" w:cs="Times New Roman"/>
                <w:b w:val="0"/>
                <w:bCs/>
                <w:sz w:val="22"/>
                <w:szCs w:val="22"/>
              </w:rPr>
            </w:pPr>
            <w:r>
              <w:rPr>
                <w:rFonts w:ascii="HelveticaNeue LT 45 Lt" w:hAnsi="HelveticaNeue LT 45 Lt" w:eastAsia="宋体" w:cs="Times New Roman"/>
                <w:b w:val="0"/>
                <w:bCs/>
                <w:sz w:val="22"/>
                <w:szCs w:val="22"/>
              </w:rPr>
              <w:t xml:space="preserve">Commencement Date, as defined in the Contract, and thereafter until the issuance of the Performance Certificate. </w:t>
            </w:r>
          </w:p>
        </w:tc>
      </w:tr>
    </w:tbl>
    <w:p>
      <w:pPr>
        <w:pStyle w:val="2"/>
        <w:spacing w:before="82"/>
        <w:ind w:right="84"/>
        <w:jc w:val="both"/>
        <w:rPr>
          <w:rFonts w:ascii="Times New Roman" w:hAnsi="Times New Roman" w:cs="Times New Roman"/>
        </w:rPr>
      </w:pPr>
    </w:p>
    <w:p>
      <w:pPr>
        <w:pStyle w:val="2"/>
        <w:numPr>
          <w:ilvl w:val="0"/>
          <w:numId w:val="1"/>
        </w:numPr>
        <w:spacing w:before="82"/>
        <w:ind w:right="84"/>
        <w:jc w:val="both"/>
        <w:rPr>
          <w:rFonts w:ascii="Times New Roman" w:hAnsi="Times New Roman" w:cs="Times New Roman"/>
        </w:rPr>
      </w:pPr>
      <w:r>
        <w:rPr>
          <w:rFonts w:ascii="Times New Roman" w:hAnsi="Times New Roman" w:cs="Times New Roman"/>
        </w:rPr>
        <w:t>Motor Vehicle Liability Insurance (In addition to that required by applicable Law)</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0"/>
        <w:gridCol w:w="63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3" w:type="pct"/>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007C85"/>
          </w:tcPr>
          <w:p>
            <w:pPr>
              <w:spacing w:before="60" w:after="60"/>
              <w:jc w:val="both"/>
              <w:rPr>
                <w:rFonts w:ascii="Century Gothic" w:hAnsi="Century Gothic" w:eastAsia="宋体" w:cs="Times New Roman"/>
                <w:b/>
                <w:bCs/>
                <w:color w:val="auto"/>
                <w:sz w:val="20"/>
                <w:szCs w:val="22"/>
              </w:rPr>
            </w:pPr>
            <w:r>
              <w:rPr>
                <w:rFonts w:ascii="Century Gothic" w:hAnsi="Century Gothic" w:eastAsia="宋体" w:cs="Times New Roman"/>
                <w:b/>
                <w:bCs/>
                <w:color w:val="auto"/>
                <w:sz w:val="20"/>
                <w:szCs w:val="22"/>
              </w:rPr>
              <w:t>Element</w:t>
            </w:r>
          </w:p>
        </w:tc>
        <w:tc>
          <w:tcPr>
            <w:tcW w:w="3726" w:type="pct"/>
            <w:tcBorders>
              <w:top w:val="single" w:color="auto" w:sz="4" w:space="0"/>
              <w:bottom w:val="single" w:color="auto" w:sz="4" w:space="0"/>
              <w:right w:val="single" w:color="auto" w:sz="4" w:space="0"/>
              <w:insideH w:val="single" w:sz="4" w:space="0"/>
              <w:insideV w:val="single" w:sz="4" w:space="0"/>
            </w:tcBorders>
            <w:shd w:val="clear" w:color="auto" w:fill="007C85"/>
          </w:tcPr>
          <w:p>
            <w:pPr>
              <w:spacing w:before="60" w:after="60"/>
              <w:jc w:val="both"/>
              <w:rPr>
                <w:rFonts w:ascii="Century Gothic" w:hAnsi="Century Gothic" w:eastAsia="宋体" w:cs="Times New Roman"/>
                <w:b/>
                <w:bCs/>
                <w:color w:val="auto"/>
                <w:sz w:val="20"/>
                <w:szCs w:val="22"/>
              </w:rPr>
            </w:pPr>
            <w:r>
              <w:rPr>
                <w:rFonts w:ascii="Century Gothic" w:hAnsi="Century Gothic" w:eastAsia="宋体" w:cs="Times New Roman"/>
                <w:b/>
                <w:bCs/>
                <w:color w:val="auto"/>
                <w:sz w:val="20"/>
                <w:szCs w:val="22"/>
              </w:rPr>
              <w:t>Minimum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3" w:type="pct"/>
            <w:shd w:val="clear" w:color="auto" w:fill="auto"/>
          </w:tcPr>
          <w:p>
            <w:pPr>
              <w:spacing w:before="60" w:after="60"/>
              <w:jc w:val="both"/>
              <w:rPr>
                <w:rFonts w:hint="eastAsia" w:ascii="HelveticaNeue LT 45 Lt" w:hAnsi="HelveticaNeue LT 45 Lt" w:eastAsia="宋体" w:cs="Times New Roman"/>
                <w:b/>
                <w:bCs/>
                <w:sz w:val="22"/>
                <w:szCs w:val="22"/>
              </w:rPr>
            </w:pPr>
            <w:r>
              <w:rPr>
                <w:rFonts w:ascii="HelveticaNeue LT 45 Lt" w:hAnsi="HelveticaNeue LT 45 Lt" w:eastAsia="宋体" w:cs="Times New Roman"/>
                <w:b/>
                <w:bCs/>
                <w:sz w:val="22"/>
                <w:szCs w:val="22"/>
              </w:rPr>
              <w:t>Scope of cover</w:t>
            </w:r>
          </w:p>
        </w:tc>
        <w:tc>
          <w:tcPr>
            <w:tcW w:w="3726" w:type="pct"/>
            <w:shd w:val="clear" w:color="auto" w:fill="auto"/>
          </w:tcPr>
          <w:p>
            <w:pPr>
              <w:spacing w:before="60" w:after="60"/>
              <w:jc w:val="both"/>
              <w:rPr>
                <w:rFonts w:hint="eastAsia" w:ascii="HelveticaNeue LT 45 Lt" w:hAnsi="HelveticaNeue LT 45 Lt" w:eastAsia="宋体" w:cs="Times New Roman"/>
                <w:b w:val="0"/>
                <w:bCs/>
                <w:sz w:val="22"/>
                <w:szCs w:val="22"/>
              </w:rPr>
            </w:pPr>
            <w:r>
              <w:rPr>
                <w:rFonts w:ascii="HelveticaNeue LT 45 Lt" w:hAnsi="HelveticaNeue LT 45 Lt" w:eastAsia="宋体" w:cs="Times New Roman"/>
                <w:b w:val="0"/>
                <w:bCs/>
                <w:sz w:val="22"/>
                <w:szCs w:val="22"/>
              </w:rPr>
              <w:t>Insurance against any liability to a third party in respect of property damage and personal injury, in respect of all vehicles including mobile plant registered or required to be registered in accordance with any Law, used (or to be used) on any road or on the Site and otherwise used by the Subcontractor at any time in connection with the Works.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3" w:type="pct"/>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tcPr>
          <w:p>
            <w:pPr>
              <w:spacing w:before="60" w:after="60"/>
              <w:jc w:val="both"/>
              <w:rPr>
                <w:rFonts w:hint="eastAsia" w:ascii="HelveticaNeue LT 45 Lt" w:hAnsi="HelveticaNeue LT 45 Lt" w:eastAsia="宋体" w:cs="Times New Roman"/>
                <w:b/>
                <w:bCs/>
                <w:sz w:val="22"/>
                <w:szCs w:val="22"/>
              </w:rPr>
            </w:pPr>
            <w:r>
              <w:rPr>
                <w:rFonts w:ascii="HelveticaNeue LT 45 Lt" w:hAnsi="HelveticaNeue LT 45 Lt" w:eastAsia="宋体" w:cs="Times New Roman"/>
                <w:b/>
                <w:bCs/>
                <w:sz w:val="22"/>
                <w:szCs w:val="22"/>
              </w:rPr>
              <w:t>Period of insurance</w:t>
            </w:r>
          </w:p>
        </w:tc>
        <w:tc>
          <w:tcPr>
            <w:tcW w:w="3726" w:type="pct"/>
            <w:tcBorders>
              <w:top w:val="single" w:color="auto" w:sz="4" w:space="0"/>
              <w:bottom w:val="single" w:color="auto" w:sz="4" w:space="0"/>
              <w:right w:val="single" w:color="auto" w:sz="4" w:space="0"/>
              <w:insideH w:val="single" w:sz="4" w:space="0"/>
              <w:insideV w:val="single" w:sz="4" w:space="0"/>
            </w:tcBorders>
            <w:shd w:val="clear" w:color="auto" w:fill="auto"/>
          </w:tcPr>
          <w:p>
            <w:pPr>
              <w:spacing w:before="60" w:after="60"/>
              <w:jc w:val="both"/>
              <w:rPr>
                <w:rFonts w:hint="eastAsia" w:ascii="HelveticaNeue LT 45 Lt" w:hAnsi="HelveticaNeue LT 45 Lt" w:eastAsia="宋体" w:cs="Times New Roman"/>
                <w:b w:val="0"/>
                <w:bCs/>
                <w:sz w:val="22"/>
                <w:szCs w:val="22"/>
              </w:rPr>
            </w:pPr>
            <w:r>
              <w:rPr>
                <w:rFonts w:ascii="HelveticaNeue LT 45 Lt" w:hAnsi="HelveticaNeue LT 45 Lt" w:eastAsia="宋体" w:cs="Times New Roman"/>
                <w:b w:val="0"/>
                <w:bCs/>
                <w:sz w:val="22"/>
                <w:szCs w:val="22"/>
              </w:rPr>
              <w:t xml:space="preserve">Commencement Date, as defined in the Contract, and thereafter until the moment Subcontractor concludes its use at or near the Project Site. </w:t>
            </w:r>
          </w:p>
        </w:tc>
      </w:tr>
    </w:tbl>
    <w:p>
      <w:pPr>
        <w:pStyle w:val="2"/>
        <w:spacing w:before="82"/>
        <w:ind w:right="84"/>
        <w:jc w:val="both"/>
        <w:rPr>
          <w:rFonts w:ascii="Times New Roman" w:hAnsi="Times New Roman" w:cs="Times New Roman"/>
        </w:rPr>
      </w:pPr>
    </w:p>
    <w:p>
      <w:pPr>
        <w:pStyle w:val="2"/>
        <w:numPr>
          <w:ilvl w:val="0"/>
          <w:numId w:val="1"/>
        </w:numPr>
        <w:spacing w:before="82"/>
        <w:ind w:right="84"/>
        <w:jc w:val="both"/>
        <w:rPr>
          <w:rFonts w:ascii="Times New Roman" w:hAnsi="Times New Roman" w:cs="Times New Roman"/>
        </w:rPr>
      </w:pPr>
      <w:r>
        <w:rPr>
          <w:rFonts w:ascii="Times New Roman" w:hAnsi="Times New Roman" w:cs="Times New Roman"/>
        </w:rPr>
        <w:t>Subcontractor's Equipment and Spares Insurance</w:t>
      </w:r>
    </w:p>
    <w:tbl>
      <w:tblPr>
        <w:tblStyle w:val="1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1"/>
        <w:gridCol w:w="6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74" w:type="pct"/>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007C85"/>
          </w:tcPr>
          <w:p>
            <w:pPr>
              <w:widowControl w:val="0"/>
              <w:spacing w:before="60" w:after="60"/>
              <w:jc w:val="both"/>
              <w:rPr>
                <w:rFonts w:ascii="Century Gothic" w:hAnsi="Century Gothic" w:eastAsia="宋体" w:cs="Times New Roman"/>
                <w:b/>
                <w:bCs/>
                <w:color w:val="auto"/>
                <w:sz w:val="20"/>
                <w:szCs w:val="22"/>
              </w:rPr>
            </w:pPr>
            <w:r>
              <w:rPr>
                <w:rFonts w:ascii="Century Gothic" w:hAnsi="Century Gothic" w:eastAsia="宋体" w:cs="Times New Roman"/>
                <w:b/>
                <w:bCs/>
                <w:color w:val="auto"/>
                <w:sz w:val="20"/>
                <w:szCs w:val="22"/>
              </w:rPr>
              <w:t>Element</w:t>
            </w:r>
          </w:p>
        </w:tc>
        <w:tc>
          <w:tcPr>
            <w:tcW w:w="3726" w:type="pct"/>
            <w:tcBorders>
              <w:top w:val="single" w:color="auto" w:sz="4" w:space="0"/>
              <w:bottom w:val="single" w:color="auto" w:sz="4" w:space="0"/>
              <w:right w:val="single" w:color="auto" w:sz="4" w:space="0"/>
              <w:insideH w:val="single" w:sz="4" w:space="0"/>
              <w:insideV w:val="single" w:sz="4" w:space="0"/>
            </w:tcBorders>
            <w:shd w:val="clear" w:color="auto" w:fill="007C85"/>
          </w:tcPr>
          <w:p>
            <w:pPr>
              <w:widowControl w:val="0"/>
              <w:spacing w:before="60" w:after="60"/>
              <w:jc w:val="both"/>
              <w:rPr>
                <w:rFonts w:ascii="Century Gothic" w:hAnsi="Century Gothic" w:eastAsia="宋体" w:cs="Times New Roman"/>
                <w:b/>
                <w:bCs/>
                <w:color w:val="auto"/>
                <w:sz w:val="20"/>
                <w:szCs w:val="22"/>
              </w:rPr>
            </w:pPr>
            <w:r>
              <w:rPr>
                <w:rFonts w:ascii="Century Gothic" w:hAnsi="Century Gothic" w:eastAsia="宋体" w:cs="Times New Roman"/>
                <w:b/>
                <w:bCs/>
                <w:color w:val="auto"/>
                <w:sz w:val="20"/>
                <w:szCs w:val="22"/>
              </w:rPr>
              <w:t>Minimum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4" w:type="pct"/>
            <w:shd w:val="clear" w:color="auto" w:fill="auto"/>
          </w:tcPr>
          <w:p>
            <w:pPr>
              <w:spacing w:before="60" w:after="60"/>
              <w:jc w:val="both"/>
              <w:rPr>
                <w:rFonts w:hint="eastAsia" w:ascii="HelveticaNeue LT 45 Lt" w:hAnsi="HelveticaNeue LT 45 Lt" w:eastAsia="宋体" w:cs="Times New Roman"/>
                <w:b/>
                <w:bCs/>
                <w:sz w:val="22"/>
                <w:szCs w:val="22"/>
              </w:rPr>
            </w:pPr>
            <w:r>
              <w:rPr>
                <w:rFonts w:ascii="HelveticaNeue LT 45 Lt" w:hAnsi="HelveticaNeue LT 45 Lt" w:eastAsia="宋体" w:cs="Times New Roman"/>
                <w:b/>
                <w:bCs/>
                <w:sz w:val="22"/>
                <w:szCs w:val="22"/>
              </w:rPr>
              <w:t>Sum insured</w:t>
            </w:r>
          </w:p>
        </w:tc>
        <w:tc>
          <w:tcPr>
            <w:tcW w:w="3726" w:type="pct"/>
            <w:shd w:val="clear" w:color="auto" w:fill="auto"/>
          </w:tcPr>
          <w:p>
            <w:pPr>
              <w:spacing w:before="60" w:after="60"/>
              <w:jc w:val="both"/>
              <w:rPr>
                <w:rFonts w:hint="eastAsia" w:ascii="HelveticaNeue LT 45 Lt" w:hAnsi="HelveticaNeue LT 45 Lt" w:eastAsia="宋体" w:cs="Arial"/>
                <w:b w:val="0"/>
                <w:bCs/>
                <w:sz w:val="22"/>
                <w:szCs w:val="22"/>
              </w:rPr>
            </w:pPr>
            <w:r>
              <w:rPr>
                <w:rFonts w:ascii="HelveticaNeue LT 45 Lt" w:hAnsi="HelveticaNeue LT 45 Lt" w:eastAsia="宋体" w:cs="Times New Roman"/>
                <w:b w:val="0"/>
                <w:bCs/>
                <w:sz w:val="22"/>
                <w:szCs w:val="22"/>
              </w:rPr>
              <w:t>Replacement value of the Subcontractor’s equipment to be used by the Subcontractor on Site but not to be incorporated into the Works.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4" w:type="pct"/>
            <w:shd w:val="clear" w:color="auto" w:fill="auto"/>
          </w:tcPr>
          <w:p>
            <w:pPr>
              <w:spacing w:before="60" w:after="60"/>
              <w:jc w:val="both"/>
              <w:rPr>
                <w:rFonts w:hint="eastAsia" w:ascii="HelveticaNeue LT 45 Lt" w:hAnsi="HelveticaNeue LT 45 Lt" w:eastAsia="宋体" w:cs="Arial"/>
                <w:b/>
                <w:bCs/>
                <w:sz w:val="22"/>
                <w:szCs w:val="22"/>
              </w:rPr>
            </w:pPr>
            <w:r>
              <w:rPr>
                <w:rFonts w:ascii="HelveticaNeue LT 45 Lt" w:hAnsi="HelveticaNeue LT 45 Lt" w:eastAsia="宋体" w:cs="Times New Roman"/>
                <w:b/>
                <w:bCs/>
                <w:sz w:val="22"/>
                <w:szCs w:val="22"/>
              </w:rPr>
              <w:t>Scope of cover</w:t>
            </w:r>
          </w:p>
        </w:tc>
        <w:tc>
          <w:tcPr>
            <w:tcW w:w="3726" w:type="pct"/>
            <w:shd w:val="clear" w:color="auto" w:fill="auto"/>
          </w:tcPr>
          <w:p>
            <w:pPr>
              <w:spacing w:before="60" w:after="60"/>
              <w:jc w:val="both"/>
              <w:rPr>
                <w:rFonts w:hint="eastAsia" w:ascii="HelveticaNeue LT 45 Lt" w:hAnsi="HelveticaNeue LT 45 Lt" w:eastAsia="宋体" w:cs="Arial"/>
                <w:b w:val="0"/>
                <w:bCs/>
                <w:sz w:val="22"/>
                <w:szCs w:val="22"/>
              </w:rPr>
            </w:pPr>
            <w:r>
              <w:rPr>
                <w:rFonts w:ascii="HelveticaNeue LT 45 Lt" w:hAnsi="HelveticaNeue LT 45 Lt" w:eastAsia="宋体" w:cs="Times New Roman"/>
                <w:b w:val="0"/>
                <w:bCs/>
                <w:sz w:val="22"/>
                <w:szCs w:val="22"/>
              </w:rPr>
              <w:t>All Risks insurance, including SASRIA, in respect of Subcontractor’s Equipment owned (including Spares), leased, hired or otherwise in the care, custody or control of the Subcontractor or its employees, Sub-subcontractors or agents, including transit risks regardless of the mode of transport, whether the equipment is to be used on the Site or at other places where the Works are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4" w:type="pct"/>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tcPr>
          <w:p>
            <w:pPr>
              <w:spacing w:before="60" w:after="60"/>
              <w:jc w:val="both"/>
              <w:rPr>
                <w:rFonts w:hint="eastAsia" w:ascii="HelveticaNeue LT 45 Lt" w:hAnsi="HelveticaNeue LT 45 Lt" w:eastAsia="宋体" w:cs="Arial"/>
                <w:b/>
                <w:bCs/>
                <w:sz w:val="22"/>
                <w:szCs w:val="22"/>
              </w:rPr>
            </w:pPr>
            <w:r>
              <w:rPr>
                <w:rFonts w:ascii="HelveticaNeue LT 45 Lt" w:hAnsi="HelveticaNeue LT 45 Lt" w:eastAsia="宋体" w:cs="Times New Roman"/>
                <w:b/>
                <w:bCs/>
                <w:sz w:val="22"/>
                <w:szCs w:val="22"/>
              </w:rPr>
              <w:t>Period of insurance</w:t>
            </w:r>
          </w:p>
        </w:tc>
        <w:tc>
          <w:tcPr>
            <w:tcW w:w="3726" w:type="pct"/>
            <w:tcBorders>
              <w:top w:val="single" w:color="auto" w:sz="4" w:space="0"/>
              <w:bottom w:val="single" w:color="auto" w:sz="4" w:space="0"/>
              <w:right w:val="single" w:color="auto" w:sz="4" w:space="0"/>
              <w:insideH w:val="single" w:sz="4" w:space="0"/>
              <w:insideV w:val="single" w:sz="4" w:space="0"/>
            </w:tcBorders>
            <w:shd w:val="clear" w:color="auto" w:fill="auto"/>
          </w:tcPr>
          <w:p>
            <w:pPr>
              <w:spacing w:before="60" w:after="60"/>
              <w:jc w:val="both"/>
              <w:rPr>
                <w:rFonts w:hint="eastAsia" w:ascii="HelveticaNeue LT 45 Lt" w:hAnsi="HelveticaNeue LT 45 Lt" w:eastAsia="宋体" w:cs="Arial"/>
                <w:b w:val="0"/>
                <w:bCs/>
                <w:sz w:val="22"/>
                <w:szCs w:val="22"/>
              </w:rPr>
            </w:pPr>
            <w:r>
              <w:rPr>
                <w:rFonts w:ascii="HelveticaNeue LT 45 Lt" w:hAnsi="HelveticaNeue LT 45 Lt" w:eastAsia="宋体" w:cs="Times New Roman"/>
                <w:b w:val="0"/>
                <w:bCs/>
                <w:sz w:val="22"/>
                <w:szCs w:val="22"/>
              </w:rPr>
              <w:t>From it being transported to the Site and thereafter until the moment Subcontractors concludes its use at or near Site</w:t>
            </w:r>
          </w:p>
        </w:tc>
      </w:tr>
    </w:tbl>
    <w:p>
      <w:pPr>
        <w:pStyle w:val="2"/>
        <w:spacing w:before="82"/>
        <w:ind w:right="84"/>
        <w:jc w:val="both"/>
        <w:rPr>
          <w:rFonts w:ascii="Times New Roman" w:hAnsi="Times New Roman" w:cs="Times New Roman"/>
        </w:rPr>
      </w:pPr>
    </w:p>
    <w:p>
      <w:pPr>
        <w:pStyle w:val="2"/>
        <w:numPr>
          <w:ilvl w:val="0"/>
          <w:numId w:val="1"/>
        </w:numPr>
        <w:spacing w:before="82"/>
        <w:ind w:right="84"/>
        <w:jc w:val="both"/>
        <w:rPr>
          <w:rFonts w:ascii="Times New Roman" w:hAnsi="Times New Roman" w:cs="Times New Roman"/>
        </w:rPr>
      </w:pPr>
      <w:r>
        <w:rPr>
          <w:rFonts w:ascii="Times New Roman" w:hAnsi="Times New Roman" w:cs="Times New Roman"/>
        </w:rPr>
        <w:t>All other insurances as required as per applicable Law.</w:t>
      </w:r>
    </w:p>
    <w:p>
      <w:pPr>
        <w:pStyle w:val="2"/>
        <w:spacing w:before="82"/>
        <w:ind w:right="84"/>
        <w:jc w:val="both"/>
        <w:rPr>
          <w:rFonts w:ascii="Times New Roman" w:hAnsi="Times New Roman" w:cs="Times New Roman"/>
        </w:rPr>
      </w:pPr>
    </w:p>
    <w:p>
      <w:pPr>
        <w:pStyle w:val="2"/>
        <w:spacing w:before="82"/>
        <w:ind w:right="84"/>
        <w:jc w:val="both"/>
        <w:rPr>
          <w:rFonts w:ascii="Times New Roman" w:hAnsi="Times New Roman" w:cs="Times New Roman"/>
          <w:lang w:val="en-US"/>
        </w:rPr>
      </w:pPr>
      <w:r>
        <w:rPr>
          <w:rFonts w:ascii="Times New Roman" w:hAnsi="Times New Roman" w:cs="Times New Roman"/>
        </w:rPr>
        <w:t>3.</w:t>
      </w:r>
      <w:r>
        <w:rPr>
          <w:rFonts w:ascii="Times New Roman" w:hAnsi="Times New Roman" w:eastAsia="宋体" w:cs="Times New Roman"/>
          <w:bCs/>
          <w:color w:val="000000"/>
          <w:sz w:val="22"/>
          <w:szCs w:val="22"/>
          <w:lang w:val="en-US" w:eastAsia="zh-CN"/>
        </w:rPr>
        <w:t xml:space="preserve"> </w:t>
      </w:r>
      <w:r>
        <w:rPr>
          <w:rFonts w:ascii="Times New Roman" w:hAnsi="Times New Roman" w:cs="Times New Roman"/>
          <w:bCs/>
          <w:lang w:val="en-US"/>
        </w:rPr>
        <w:t xml:space="preserve">Evidence of Cover </w:t>
      </w:r>
    </w:p>
    <w:p>
      <w:pPr>
        <w:pStyle w:val="2"/>
        <w:spacing w:before="82"/>
        <w:ind w:right="84"/>
        <w:jc w:val="both"/>
        <w:rPr>
          <w:rFonts w:ascii="Times New Roman" w:hAnsi="Times New Roman" w:cs="Times New Roman"/>
          <w:lang w:val="en-US"/>
        </w:rPr>
      </w:pPr>
      <w:r>
        <w:rPr>
          <w:rFonts w:ascii="Times New Roman" w:hAnsi="Times New Roman" w:cs="Times New Roman"/>
          <w:lang w:val="en-US"/>
        </w:rPr>
        <w:t xml:space="preserve">3.1 Prior to commencement of any Work at the Site and at any time promptly upon request by the Contractor, the Subcontractor shall furnish the Contractor with evidence of the insurance required hereunder, in the form of electronic insurance certificates reasonably satisfactory to the Contractor, or, at the Contractor’s option, with electronic copies of the insurance policies. All such insurance certificates shall include, but not be limited to, the type of insurance, the limits of insurance, the policy term, the name(s) of the insurance companies, and a list of the applicable endorsements required above. </w:t>
      </w:r>
    </w:p>
    <w:p>
      <w:pPr>
        <w:pStyle w:val="2"/>
        <w:spacing w:before="82"/>
        <w:ind w:right="84"/>
        <w:jc w:val="both"/>
        <w:rPr>
          <w:rFonts w:ascii="Times New Roman" w:hAnsi="Times New Roman" w:cs="Times New Roman"/>
          <w:lang w:val="en-US"/>
        </w:rPr>
      </w:pPr>
      <w:r>
        <w:rPr>
          <w:rFonts w:ascii="Times New Roman" w:hAnsi="Times New Roman" w:cs="Times New Roman"/>
          <w:lang w:val="en-US"/>
        </w:rPr>
        <w:t xml:space="preserve">All documents to be supplied in the English language. </w:t>
      </w:r>
    </w:p>
    <w:p>
      <w:pPr>
        <w:pStyle w:val="2"/>
        <w:spacing w:before="82"/>
        <w:ind w:right="84"/>
        <w:jc w:val="both"/>
        <w:rPr>
          <w:rFonts w:ascii="Times New Roman" w:hAnsi="Times New Roman" w:cs="Times New Roman"/>
          <w:lang w:val="en-US"/>
        </w:rPr>
      </w:pPr>
      <w:r>
        <w:rPr>
          <w:rFonts w:ascii="Times New Roman" w:hAnsi="Times New Roman" w:cs="Times New Roman"/>
          <w:lang w:val="en-US"/>
        </w:rPr>
        <w:t xml:space="preserve">3.2 The Subcontractor shall provide the Contractor with statements from the Subcontractor's insurers or appointed insurance broker or consultant evidencing payment by the Subcontractor of the premiums in respect of the insurance cover required under this Annexe 7 Insurance. </w:t>
      </w:r>
    </w:p>
    <w:p>
      <w:pPr>
        <w:pStyle w:val="2"/>
        <w:spacing w:before="82"/>
        <w:ind w:right="84"/>
        <w:jc w:val="both"/>
        <w:rPr>
          <w:rFonts w:ascii="Times New Roman" w:hAnsi="Times New Roman" w:cs="Times New Roman"/>
          <w:lang w:val="en-US"/>
        </w:rPr>
      </w:pPr>
      <w:r>
        <w:rPr>
          <w:rFonts w:ascii="Times New Roman" w:hAnsi="Times New Roman" w:cs="Times New Roman"/>
          <w:lang w:val="en-US"/>
        </w:rPr>
        <w:t>3.3 Neither inspection nor receipt of such electronic insurance certificates shall constitute acceptance by the Contractor of the terms thereof or a waiver of the Subcontractor’s responsibilities hereunder.</w:t>
      </w:r>
    </w:p>
    <w:p>
      <w:pPr>
        <w:pStyle w:val="2"/>
        <w:spacing w:before="82"/>
        <w:ind w:right="84"/>
        <w:jc w:val="both"/>
        <w:rPr>
          <w:rFonts w:ascii="Times New Roman" w:hAnsi="Times New Roman" w:cs="Times New Roman"/>
          <w:lang w:val="en-US"/>
        </w:rPr>
      </w:pPr>
    </w:p>
    <w:p>
      <w:pPr>
        <w:pStyle w:val="2"/>
        <w:spacing w:before="82"/>
        <w:ind w:right="84"/>
        <w:jc w:val="both"/>
        <w:rPr>
          <w:rFonts w:ascii="Times New Roman" w:hAnsi="Times New Roman" w:cs="Times New Roman"/>
          <w:lang w:val="en-US"/>
        </w:rPr>
      </w:pPr>
      <w:r>
        <w:rPr>
          <w:rFonts w:ascii="Times New Roman" w:hAnsi="Times New Roman" w:cs="Times New Roman"/>
          <w:lang w:val="en-US"/>
        </w:rPr>
        <w:t>4. Parties must co-operate with each other</w:t>
      </w:r>
    </w:p>
    <w:p>
      <w:pPr>
        <w:pStyle w:val="2"/>
        <w:spacing w:before="82"/>
        <w:ind w:right="84"/>
        <w:jc w:val="both"/>
        <w:rPr>
          <w:rFonts w:ascii="Times New Roman" w:hAnsi="Times New Roman" w:cs="Times New Roman"/>
          <w:lang w:val="en-US"/>
        </w:rPr>
      </w:pPr>
      <w:r>
        <w:rPr>
          <w:rFonts w:ascii="Times New Roman" w:hAnsi="Times New Roman" w:cs="Times New Roman"/>
          <w:lang w:val="en-US"/>
        </w:rPr>
        <w:t>The Subcontractor must at its own cost and risk, at all times fully co-operate with the Contractor in pursuing recovery of any insurance claims under the Contractor's insurances including the provision of reports, information and any other matters required by the Contractor from time to time.</w:t>
      </w:r>
    </w:p>
    <w:p>
      <w:pPr>
        <w:pStyle w:val="2"/>
        <w:spacing w:before="82"/>
        <w:ind w:right="84"/>
        <w:jc w:val="both"/>
        <w:rPr>
          <w:rFonts w:ascii="Times New Roman" w:hAnsi="Times New Roman" w:cs="Times New Roman"/>
          <w:lang w:val="en-US"/>
        </w:rPr>
      </w:pPr>
      <w:r>
        <w:rPr>
          <w:rFonts w:ascii="Times New Roman" w:hAnsi="Times New Roman" w:cs="Times New Roman"/>
          <w:lang w:val="en-US"/>
        </w:rPr>
        <w:t>The Contractor must at its own cost and risk, at all times fully co-operate with the Subcontractors pursuing recovery of any insurance claims under the Subcontractor's insurances including the provision of reports, information and any other matters required by the Subcontractor from time to time.</w:t>
      </w:r>
    </w:p>
    <w:p>
      <w:pPr>
        <w:pStyle w:val="2"/>
        <w:spacing w:before="82"/>
        <w:ind w:right="84"/>
        <w:jc w:val="both"/>
        <w:rPr>
          <w:rFonts w:ascii="Times New Roman" w:hAnsi="Times New Roman" w:cs="Times New Roman"/>
          <w:lang w:val="en-US"/>
        </w:rPr>
      </w:pPr>
    </w:p>
    <w:p>
      <w:pPr>
        <w:pStyle w:val="2"/>
        <w:spacing w:before="82"/>
        <w:ind w:right="84"/>
        <w:jc w:val="both"/>
        <w:rPr>
          <w:rFonts w:ascii="Times New Roman" w:hAnsi="Times New Roman" w:cs="Times New Roman"/>
          <w:lang w:val="en-US"/>
        </w:rPr>
      </w:pPr>
      <w:r>
        <w:rPr>
          <w:rFonts w:ascii="Times New Roman" w:hAnsi="Times New Roman" w:cs="Times New Roman"/>
          <w:lang w:val="en-US"/>
        </w:rPr>
        <w:t xml:space="preserve">5. </w:t>
      </w:r>
      <w:r>
        <w:rPr>
          <w:rFonts w:ascii="Times New Roman" w:hAnsi="Times New Roman" w:cs="Times New Roman"/>
          <w:bCs/>
          <w:lang w:val="en-US"/>
        </w:rPr>
        <w:t>No Limit on Subcontractor’s Liability</w:t>
      </w:r>
      <w:r>
        <w:rPr>
          <w:rFonts w:ascii="Times New Roman" w:hAnsi="Times New Roman" w:cs="Times New Roman"/>
          <w:lang w:val="en-US"/>
        </w:rPr>
        <w:t xml:space="preserve"> </w:t>
      </w:r>
    </w:p>
    <w:p>
      <w:pPr>
        <w:pStyle w:val="2"/>
        <w:spacing w:before="82"/>
        <w:ind w:right="84"/>
        <w:jc w:val="both"/>
        <w:rPr>
          <w:rFonts w:ascii="Times New Roman" w:hAnsi="Times New Roman" w:cs="Times New Roman"/>
          <w:lang w:val="en-US"/>
        </w:rPr>
      </w:pPr>
      <w:r>
        <w:rPr>
          <w:rFonts w:ascii="Times New Roman" w:hAnsi="Times New Roman" w:cs="Times New Roman"/>
          <w:lang w:val="en-US"/>
        </w:rPr>
        <w:t xml:space="preserve">Nothing in this Annexe 7 Insurance shall be deemed to limit the Subcontractor’s liability under this Subcontract regardless of the insurance coverages required by this Annexe 7 Insurance. Except for the coverage limits of liability for insurance set forth in this Annexe 7 Insurance, no limitation of liability provided to the Subcontractor under this Subcontract is intended nor shall run to the benefit of any insurance company or in any way prejudice, alter, diminish, abridge or reduce, in any respect, the amount of proceeds of insurance otherwise payable to the Contractor or the Employer under coverage required to be carried by the Subcontractor hereunder, it being the intent of the Parties that the full amount of insurance coverage bargained for be actually available notwithstanding any </w:t>
      </w:r>
    </w:p>
    <w:p>
      <w:pPr>
        <w:pStyle w:val="2"/>
        <w:spacing w:before="82"/>
        <w:ind w:right="84"/>
        <w:jc w:val="both"/>
        <w:rPr>
          <w:rFonts w:ascii="Times New Roman" w:hAnsi="Times New Roman" w:cs="Times New Roman"/>
          <w:lang w:val="en-US"/>
        </w:rPr>
      </w:pPr>
      <w:r>
        <w:rPr>
          <w:rFonts w:ascii="Times New Roman" w:hAnsi="Times New Roman" w:cs="Times New Roman"/>
          <w:lang w:val="en-US"/>
        </w:rPr>
        <w:t>limitation of liability contained in this Subcontract, if any. The Subcontractor assumes no responsibility for the solvency of any insurer or the failure of any insurer to settle any claim.</w:t>
      </w:r>
    </w:p>
    <w:p>
      <w:pPr>
        <w:pStyle w:val="2"/>
        <w:spacing w:before="82"/>
        <w:ind w:right="84"/>
        <w:jc w:val="both"/>
        <w:rPr>
          <w:rFonts w:ascii="Times New Roman" w:hAnsi="Times New Roman" w:cs="Times New Roman"/>
          <w:lang w:val="en-US"/>
        </w:rPr>
      </w:pPr>
    </w:p>
    <w:p>
      <w:pPr>
        <w:pStyle w:val="2"/>
        <w:spacing w:before="82"/>
        <w:ind w:right="84"/>
        <w:jc w:val="both"/>
        <w:rPr>
          <w:rFonts w:ascii="Times New Roman" w:hAnsi="Times New Roman" w:cs="Times New Roman"/>
          <w:lang w:val="en-US" w:eastAsia="zh-CN"/>
        </w:rPr>
      </w:pPr>
      <w:r>
        <w:rPr>
          <w:rFonts w:ascii="Times New Roman" w:hAnsi="Times New Roman" w:cs="Times New Roman"/>
          <w:lang w:val="en-US"/>
        </w:rPr>
        <w:t>6.</w:t>
      </w:r>
      <w:r>
        <w:rPr>
          <w:rFonts w:ascii="Times New Roman" w:hAnsi="Times New Roman" w:cs="Times New Roman"/>
          <w:lang w:val="en-US" w:eastAsia="zh-CN"/>
        </w:rPr>
        <w:t xml:space="preserve"> Disclosure </w:t>
      </w:r>
    </w:p>
    <w:p>
      <w:pPr>
        <w:pStyle w:val="2"/>
        <w:spacing w:before="82"/>
        <w:ind w:right="84"/>
        <w:jc w:val="both"/>
        <w:rPr>
          <w:rFonts w:ascii="Times New Roman" w:hAnsi="Times New Roman" w:cs="Times New Roman"/>
          <w:lang w:val="en-US"/>
        </w:rPr>
      </w:pPr>
      <w:r>
        <w:rPr>
          <w:rFonts w:ascii="Times New Roman" w:hAnsi="Times New Roman" w:cs="Times New Roman"/>
          <w:lang w:val="en-US"/>
        </w:rPr>
        <w:t>The Subcontractor warrants that it has disclosed all information material to the risks covered by the insurances procured by the Contractor and that it shall notify the Contractor as soon as it becomes aware of any material change to such information or further information material to such risks.</w:t>
      </w:r>
    </w:p>
    <w:p>
      <w:pPr>
        <w:pStyle w:val="2"/>
        <w:spacing w:before="82"/>
        <w:ind w:right="84"/>
        <w:jc w:val="both"/>
        <w:rPr>
          <w:rFonts w:ascii="Times New Roman" w:hAnsi="Times New Roman" w:eastAsia="宋体" w:cs="Times New Roman"/>
          <w:b/>
          <w:bCs/>
          <w:color w:val="000000"/>
          <w:sz w:val="22"/>
          <w:szCs w:val="22"/>
          <w:lang w:val="en-US" w:eastAsia="zh-CN"/>
        </w:rPr>
      </w:pPr>
    </w:p>
    <w:p>
      <w:pPr>
        <w:pStyle w:val="2"/>
        <w:spacing w:before="82"/>
        <w:ind w:right="84"/>
        <w:jc w:val="both"/>
        <w:rPr>
          <w:rFonts w:ascii="Times New Roman" w:hAnsi="Times New Roman" w:cs="Times New Roman"/>
          <w:bCs/>
          <w:lang w:val="en-US"/>
        </w:rPr>
      </w:pPr>
      <w:r>
        <w:rPr>
          <w:rFonts w:ascii="Times New Roman" w:hAnsi="Times New Roman" w:eastAsia="宋体" w:cs="Times New Roman"/>
          <w:bCs/>
          <w:color w:val="000000"/>
          <w:sz w:val="22"/>
          <w:szCs w:val="22"/>
          <w:lang w:val="en-US" w:eastAsia="zh-CN"/>
        </w:rPr>
        <w:t xml:space="preserve">7. </w:t>
      </w:r>
      <w:r>
        <w:rPr>
          <w:rFonts w:ascii="Times New Roman" w:hAnsi="Times New Roman" w:cs="Times New Roman"/>
          <w:bCs/>
          <w:lang w:val="en-US"/>
        </w:rPr>
        <w:t>Subrogation</w:t>
      </w:r>
    </w:p>
    <w:p>
      <w:pPr>
        <w:pStyle w:val="2"/>
        <w:spacing w:before="82"/>
        <w:ind w:right="84"/>
        <w:jc w:val="both"/>
        <w:rPr>
          <w:rFonts w:ascii="Times New Roman" w:hAnsi="Times New Roman" w:cs="Times New Roman"/>
          <w:bCs/>
          <w:lang w:val="en-US"/>
        </w:rPr>
      </w:pPr>
      <w:r>
        <w:rPr>
          <w:rFonts w:ascii="Times New Roman" w:hAnsi="Times New Roman" w:cs="Times New Roman"/>
          <w:bCs/>
          <w:lang w:val="en-US"/>
        </w:rPr>
        <w:t>The interests of the Employer, the Lender, the Contractor, the Contractor’s Subcontractors, manufacturers, vendors and suppliers will be noted under all insurance policies taken out by such parties except for the worker's compensation and Motor third party liability and all insurer's rights of subrogation against such parties for losses or claims arising out of the performance of the Subcontract must be waived under such policies other than in respect of fraud, willful act, vitiating act.  This requirement shall also apply to any delay in start-up or advance loss of profits insurance the Contractor may obtain and maintain in connection with the Works and the Project.</w:t>
      </w:r>
    </w:p>
    <w:p>
      <w:pPr>
        <w:pStyle w:val="2"/>
        <w:spacing w:before="82"/>
        <w:ind w:right="84"/>
        <w:jc w:val="both"/>
        <w:rPr>
          <w:rFonts w:ascii="Times New Roman" w:hAnsi="Times New Roman" w:cs="Times New Roman"/>
          <w:bCs/>
          <w:lang w:val="en-US"/>
        </w:rPr>
      </w:pPr>
    </w:p>
    <w:p>
      <w:pPr>
        <w:pStyle w:val="2"/>
        <w:spacing w:before="82"/>
        <w:ind w:right="84"/>
        <w:jc w:val="both"/>
        <w:rPr>
          <w:rFonts w:ascii="Times New Roman" w:hAnsi="Times New Roman" w:cs="Times New Roman"/>
          <w:bCs/>
          <w:lang w:val="en-US"/>
        </w:rPr>
      </w:pPr>
      <w:r>
        <w:rPr>
          <w:rFonts w:ascii="Times New Roman" w:hAnsi="Times New Roman" w:cs="Times New Roman"/>
          <w:bCs/>
          <w:lang w:val="en-US"/>
        </w:rPr>
        <w:t xml:space="preserve">8.  </w:t>
      </w:r>
      <w:r>
        <w:rPr>
          <w:rFonts w:hint="eastAsia" w:ascii="Times New Roman" w:hAnsi="Times New Roman" w:cs="Times New Roman"/>
          <w:bCs/>
          <w:lang w:val="en-US" w:eastAsia="zh-CN"/>
        </w:rPr>
        <w:t>I</w:t>
      </w:r>
      <w:r>
        <w:rPr>
          <w:rFonts w:ascii="Times New Roman" w:hAnsi="Times New Roman" w:cs="Times New Roman"/>
          <w:bCs/>
          <w:lang w:val="en-US"/>
        </w:rPr>
        <w:t>nsurers</w:t>
      </w:r>
    </w:p>
    <w:p>
      <w:pPr>
        <w:pStyle w:val="2"/>
        <w:spacing w:before="82"/>
        <w:ind w:right="84"/>
        <w:jc w:val="both"/>
        <w:rPr>
          <w:rFonts w:ascii="Times New Roman" w:hAnsi="Times New Roman" w:cs="Times New Roman"/>
          <w:bCs/>
          <w:lang w:val="en-US"/>
        </w:rPr>
      </w:pPr>
      <w:r>
        <w:rPr>
          <w:rFonts w:ascii="Times New Roman" w:hAnsi="Times New Roman" w:cs="Times New Roman"/>
          <w:bCs/>
          <w:lang w:val="en-US"/>
        </w:rPr>
        <w:t xml:space="preserve">The Subcontractor must, as a minimum, at its own expense take out and maintain in effect, or cause to be taken out and maintained in effect, during the performance of the Works, the Subcontractors insurance requirements as specified in this </w:t>
      </w:r>
      <w:bookmarkStart w:id="0" w:name="OLE_LINK34"/>
      <w:r>
        <w:rPr>
          <w:rFonts w:hint="eastAsia" w:ascii="Times New Roman" w:hAnsi="Times New Roman" w:cs="Times New Roman"/>
          <w:bCs/>
          <w:lang w:val="en-US" w:eastAsia="zh-CN"/>
        </w:rPr>
        <w:t>A</w:t>
      </w:r>
      <w:r>
        <w:rPr>
          <w:rFonts w:ascii="Times New Roman" w:hAnsi="Times New Roman" w:cs="Times New Roman"/>
          <w:bCs/>
          <w:lang w:val="en-US"/>
        </w:rPr>
        <w:t>nnexe 7 Insurance</w:t>
      </w:r>
      <w:bookmarkEnd w:id="0"/>
      <w:r>
        <w:rPr>
          <w:rFonts w:ascii="Times New Roman" w:hAnsi="Times New Roman" w:cs="Times New Roman"/>
          <w:bCs/>
          <w:lang w:val="en-US"/>
        </w:rPr>
        <w:t>. Insurers must be financially sound and reputable insurers, and, where appropriate reinsurers which, in each case, have a long-term unsecured debt rating of at least A- from S&amp;P and/or AM Best A- and/or Moody’s A3 or otherwise approved by the Contractor.</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Century Gothic">
    <w:panose1 w:val="020B0502020202020204"/>
    <w:charset w:val="00"/>
    <w:family w:val="swiss"/>
    <w:pitch w:val="default"/>
    <w:sig w:usb0="00000287" w:usb1="00000000" w:usb2="00000000" w:usb3="00000000" w:csb0="2000009F" w:csb1="DFD70000"/>
  </w:font>
  <w:font w:name="HelveticaNeue LT 45 Lt">
    <w:altName w:val="Arial"/>
    <w:panose1 w:val="00000000000000000000"/>
    <w:charset w:val="00"/>
    <w:family w:val="roman"/>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4456F0"/>
    <w:multiLevelType w:val="multilevel"/>
    <w:tmpl w:val="254456F0"/>
    <w:lvl w:ilvl="0" w:tentative="0">
      <w:start w:val="1"/>
      <w:numFmt w:val="lowerRoman"/>
      <w:lvlText w:val="%1."/>
      <w:lvlJc w:val="righ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34C"/>
    <w:rsid w:val="00007FE9"/>
    <w:rsid w:val="00177042"/>
    <w:rsid w:val="002E52C0"/>
    <w:rsid w:val="00564E64"/>
    <w:rsid w:val="006A7698"/>
    <w:rsid w:val="00791D1A"/>
    <w:rsid w:val="007D271A"/>
    <w:rsid w:val="008170BB"/>
    <w:rsid w:val="009B2BE8"/>
    <w:rsid w:val="00B463BF"/>
    <w:rsid w:val="00B7464C"/>
    <w:rsid w:val="00D0034C"/>
    <w:rsid w:val="00D639F7"/>
    <w:rsid w:val="0292713D"/>
    <w:rsid w:val="073D7BB9"/>
    <w:rsid w:val="16E7106F"/>
    <w:rsid w:val="1A9A697A"/>
    <w:rsid w:val="1D0064AE"/>
    <w:rsid w:val="5A863F95"/>
    <w:rsid w:val="62DC37F6"/>
    <w:rsid w:val="737F24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HAnsi" w:cstheme="minorBidi"/>
      <w:kern w:val="0"/>
      <w:sz w:val="24"/>
      <w:szCs w:val="24"/>
      <w:lang w:val="en-ZA" w:eastAsia="en-US"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9"/>
    <w:unhideWhenUsed/>
    <w:qFormat/>
    <w:uiPriority w:val="1"/>
    <w:pPr>
      <w:spacing w:after="120"/>
    </w:pPr>
  </w:style>
  <w:style w:type="paragraph" w:styleId="3">
    <w:name w:val="footer"/>
    <w:basedOn w:val="1"/>
    <w:link w:val="8"/>
    <w:unhideWhenUsed/>
    <w:qFormat/>
    <w:uiPriority w:val="99"/>
    <w:pPr>
      <w:tabs>
        <w:tab w:val="center" w:pos="4153"/>
        <w:tab w:val="right" w:pos="8306"/>
      </w:tabs>
      <w:snapToGrid w:val="0"/>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正文文本 字符"/>
    <w:basedOn w:val="6"/>
    <w:link w:val="2"/>
    <w:qFormat/>
    <w:uiPriority w:val="1"/>
    <w:rPr>
      <w:rFonts w:eastAsiaTheme="minorHAnsi"/>
      <w:kern w:val="0"/>
      <w:sz w:val="24"/>
      <w:szCs w:val="24"/>
      <w:lang w:val="en-ZA" w:eastAsia="en-US"/>
    </w:rPr>
  </w:style>
  <w:style w:type="paragraph" w:styleId="10">
    <w:name w:val="List Paragraph"/>
    <w:basedOn w:val="1"/>
    <w:link w:val="11"/>
    <w:qFormat/>
    <w:uiPriority w:val="1"/>
    <w:pPr>
      <w:ind w:left="720"/>
      <w:contextualSpacing/>
    </w:pPr>
  </w:style>
  <w:style w:type="character" w:customStyle="1" w:styleId="11">
    <w:name w:val="列出段落 字符"/>
    <w:link w:val="10"/>
    <w:qFormat/>
    <w:locked/>
    <w:uiPriority w:val="1"/>
    <w:rPr>
      <w:rFonts w:eastAsiaTheme="minorHAnsi"/>
      <w:kern w:val="0"/>
      <w:sz w:val="24"/>
      <w:szCs w:val="24"/>
      <w:lang w:val="en-ZA" w:eastAsia="en-US"/>
    </w:rPr>
  </w:style>
  <w:style w:type="table" w:customStyle="1" w:styleId="12">
    <w:name w:val="网格表 4 - 着色 21"/>
    <w:basedOn w:val="5"/>
    <w:qFormat/>
    <w:uiPriority w:val="49"/>
    <w:rPr>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tcPr>
    <w:tblStylePr w:type="firstRow">
      <w:rPr>
        <w:b/>
        <w:bCs/>
        <w:color w:val="FFFFFF"/>
      </w:rPr>
      <w:tcPr>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007C85"/>
      </w:tcPr>
    </w:tblStylePr>
    <w:tblStylePr w:type="lastRow">
      <w:rPr>
        <w:b w:val="0"/>
        <w:bCs/>
      </w:rPr>
      <w:tcPr>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tcPr>
    </w:tblStylePr>
    <w:tblStylePr w:type="firstCol">
      <w:rPr>
        <w:b/>
        <w:bCs/>
      </w:rPr>
    </w:tblStylePr>
    <w:tblStylePr w:type="lastCol">
      <w:rPr>
        <w:b w:val="0"/>
        <w:bCs/>
      </w:rPr>
    </w:tblStylePr>
  </w:style>
  <w:style w:type="table" w:customStyle="1" w:styleId="13">
    <w:name w:val="Grid Table 4 Accent 2"/>
    <w:basedOn w:val="5"/>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14">
    <w:name w:val="网格表 4 - 着色 22"/>
    <w:basedOn w:val="5"/>
    <w:qFormat/>
    <w:uiPriority w:val="49"/>
    <w:rPr>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tcPr>
    <w:tblStylePr w:type="firstRow">
      <w:rPr>
        <w:b/>
        <w:bCs/>
        <w:color w:val="FFFFFF"/>
      </w:rPr>
      <w:tcPr>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007C85"/>
      </w:tcPr>
    </w:tblStylePr>
    <w:tblStylePr w:type="lastRow">
      <w:rPr>
        <w:b w:val="0"/>
        <w:bCs/>
      </w:rPr>
      <w:tcPr>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tcPr>
    </w:tblStylePr>
    <w:tblStylePr w:type="firstCol">
      <w:rPr>
        <w:b/>
        <w:bCs/>
      </w:rPr>
    </w:tblStylePr>
    <w:tblStylePr w:type="lastCol">
      <w:rPr>
        <w:b w:val="0"/>
        <w:bCs/>
      </w:rPr>
    </w:tblStylePr>
  </w:style>
  <w:style w:type="table" w:customStyle="1" w:styleId="15">
    <w:name w:val="网格表 4 - 着色 23"/>
    <w:basedOn w:val="5"/>
    <w:qFormat/>
    <w:uiPriority w:val="49"/>
    <w:rPr>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tcPr>
    <w:tblStylePr w:type="firstRow">
      <w:rPr>
        <w:b/>
        <w:bCs/>
        <w:color w:val="FFFFFF"/>
      </w:rPr>
      <w:tcPr>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007C85"/>
      </w:tcPr>
    </w:tblStylePr>
    <w:tblStylePr w:type="lastRow">
      <w:rPr>
        <w:b w:val="0"/>
        <w:bCs/>
      </w:rPr>
      <w:tcPr>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tcPr>
    </w:tblStylePr>
    <w:tblStylePr w:type="firstCol">
      <w:rPr>
        <w:b/>
        <w:bCs/>
      </w:rPr>
    </w:tblStylePr>
    <w:tblStylePr w:type="lastCol">
      <w:rPr>
        <w:b w:val="0"/>
        <w:bCs/>
      </w:rPr>
    </w:tblStylePr>
  </w:style>
  <w:style w:type="table" w:customStyle="1" w:styleId="16">
    <w:name w:val="网格表 4 - 着色 24"/>
    <w:basedOn w:val="5"/>
    <w:qFormat/>
    <w:uiPriority w:val="49"/>
    <w:rPr>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tcPr>
    <w:tblStylePr w:type="firstRow">
      <w:rPr>
        <w:b/>
        <w:bCs/>
        <w:color w:val="FFFFFF"/>
      </w:rPr>
      <w:tcPr>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007C85"/>
      </w:tcPr>
    </w:tblStylePr>
    <w:tblStylePr w:type="lastRow">
      <w:rPr>
        <w:b w:val="0"/>
        <w:bCs/>
      </w:rPr>
      <w:tcPr>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tcPr>
    </w:tblStylePr>
    <w:tblStylePr w:type="firstCol">
      <w:rPr>
        <w:b/>
        <w:bCs/>
      </w:rPr>
    </w:tblStylePr>
    <w:tblStylePr w:type="lastCol">
      <w:rPr>
        <w:b w:val="0"/>
        <w:bCs/>
      </w:rPr>
    </w:tblStylePr>
  </w:style>
  <w:style w:type="table" w:customStyle="1" w:styleId="17">
    <w:name w:val="网格表 4 - 着色 25"/>
    <w:basedOn w:val="5"/>
    <w:qFormat/>
    <w:uiPriority w:val="49"/>
    <w:rPr>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tcPr>
    <w:tblStylePr w:type="firstRow">
      <w:rPr>
        <w:b/>
        <w:bCs/>
        <w:color w:val="FFFFFF"/>
      </w:rPr>
      <w:tcPr>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007C85"/>
      </w:tcPr>
    </w:tblStylePr>
    <w:tblStylePr w:type="lastRow">
      <w:rPr>
        <w:b w:val="0"/>
        <w:bCs/>
      </w:rPr>
      <w:tcPr>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tcPr>
    </w:tblStylePr>
    <w:tblStylePr w:type="firstCol">
      <w:rPr>
        <w:b/>
        <w:bCs/>
      </w:rPr>
    </w:tblStylePr>
    <w:tblStylePr w:type="lastCol">
      <w:rPr>
        <w:b w:val="0"/>
        <w:bCs/>
      </w:rPr>
    </w:tblStylePr>
  </w:style>
  <w:style w:type="table" w:customStyle="1" w:styleId="18">
    <w:name w:val="网格表 4 - 着色 26"/>
    <w:basedOn w:val="5"/>
    <w:qFormat/>
    <w:uiPriority w:val="49"/>
    <w:rPr>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tcPr>
    <w:tblStylePr w:type="firstRow">
      <w:rPr>
        <w:b/>
        <w:bCs/>
        <w:color w:val="FFFFFF"/>
      </w:rPr>
      <w:tcPr>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007C85"/>
      </w:tcPr>
    </w:tblStylePr>
    <w:tblStylePr w:type="lastRow">
      <w:rPr>
        <w:b w:val="0"/>
        <w:bCs/>
      </w:rPr>
      <w:tcPr>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auto"/>
      </w:tcPr>
    </w:tblStylePr>
    <w:tblStylePr w:type="firstCol">
      <w:rPr>
        <w:b/>
        <w:bCs/>
      </w:rPr>
    </w:tblStylePr>
    <w:tblStylePr w:type="lastCol">
      <w:rPr>
        <w:b w:val="0"/>
        <w:bCs/>
      </w:rPr>
    </w:tblStyle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1405</Words>
  <Characters>8013</Characters>
  <Lines>66</Lines>
  <Paragraphs>18</Paragraphs>
  <TotalTime>0</TotalTime>
  <ScaleCrop>false</ScaleCrop>
  <LinksUpToDate>false</LinksUpToDate>
  <CharactersWithSpaces>9400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2026-04-26T13:53:00Z</dcterms:created>
  <dc:creator>NWEPDI-MY</dc:creator>
  <cp:lastModifiedBy>Louis Liu</cp:lastModifiedBy>
  <dcterms:modified xsi:type="dcterms:W3CDTF">2026-05-19T14:19:33Z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92CB7E0B7B6240BAAC3B9B04F524F338</vt:lpwstr>
  </property>
</Properties>
</file>